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57" w:rsidRPr="00E5793F" w:rsidRDefault="00476D57" w:rsidP="00476D57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476D57" w:rsidRPr="00E5793F" w:rsidRDefault="00476D57" w:rsidP="00476D57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476D57" w:rsidRPr="00E5793F" w:rsidRDefault="00476D57" w:rsidP="00476D57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476D57" w:rsidRPr="008D38E2" w:rsidRDefault="00476D57" w:rsidP="00476D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6D57" w:rsidRPr="008D38E2" w:rsidRDefault="00476D57" w:rsidP="00476D57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476D57" w:rsidRDefault="00476D57" w:rsidP="00476D57">
      <w:pPr>
        <w:spacing w:before="120"/>
        <w:jc w:val="both"/>
      </w:pPr>
    </w:p>
    <w:p w:rsidR="00476D57" w:rsidRDefault="00476D57" w:rsidP="00476D57">
      <w:pPr>
        <w:rPr>
          <w:sz w:val="20"/>
        </w:rPr>
      </w:pPr>
    </w:p>
    <w:tbl>
      <w:tblPr>
        <w:tblW w:w="0" w:type="auto"/>
        <w:tblLook w:val="0000"/>
      </w:tblPr>
      <w:tblGrid>
        <w:gridCol w:w="3526"/>
        <w:gridCol w:w="2858"/>
        <w:gridCol w:w="3187"/>
      </w:tblGrid>
      <w:tr w:rsidR="00476D57" w:rsidRPr="00EB78CB" w:rsidTr="00CC1E9A">
        <w:trPr>
          <w:trHeight w:val="466"/>
        </w:trPr>
        <w:tc>
          <w:tcPr>
            <w:tcW w:w="3888" w:type="dxa"/>
          </w:tcPr>
          <w:p w:rsidR="00476D57" w:rsidRPr="000D6687" w:rsidRDefault="005D6640" w:rsidP="005D6640">
            <w:pPr>
              <w:ind w:left="-567" w:firstLine="567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04</w:t>
            </w:r>
            <w:r w:rsidR="00176470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8"/>
              </w:rPr>
              <w:t>августа</w:t>
            </w:r>
            <w:r w:rsidR="00176470">
              <w:rPr>
                <w:rFonts w:ascii="Times New Roman CYR" w:hAnsi="Times New Roman CYR"/>
                <w:sz w:val="28"/>
                <w:szCs w:val="28"/>
              </w:rPr>
              <w:t xml:space="preserve"> 2021</w:t>
            </w:r>
            <w:r w:rsidR="00476D57" w:rsidRPr="000D6687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476D57" w:rsidRPr="000D6687" w:rsidRDefault="00476D57" w:rsidP="00CC1E9A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476D57" w:rsidRPr="000D6687" w:rsidRDefault="009F661F" w:rsidP="005D6640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№ </w:t>
            </w:r>
            <w:r w:rsidR="005D6640">
              <w:rPr>
                <w:rFonts w:ascii="Times New Roman CYR" w:hAnsi="Times New Roman CYR"/>
                <w:sz w:val="28"/>
                <w:szCs w:val="28"/>
              </w:rPr>
              <w:t>22-</w:t>
            </w:r>
            <w:r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5D6640">
              <w:rPr>
                <w:rFonts w:ascii="Times New Roman CYR" w:hAnsi="Times New Roman CYR"/>
                <w:sz w:val="28"/>
                <w:szCs w:val="28"/>
              </w:rPr>
              <w:t>173</w:t>
            </w:r>
            <w:r w:rsidR="00476D57" w:rsidRPr="000D6687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5D6640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  <w:tr w:rsidR="00476D57" w:rsidRPr="00EB78CB" w:rsidTr="00CC1E9A">
        <w:trPr>
          <w:trHeight w:val="466"/>
        </w:trPr>
        <w:tc>
          <w:tcPr>
            <w:tcW w:w="3888" w:type="dxa"/>
          </w:tcPr>
          <w:p w:rsidR="00476D57" w:rsidRPr="000D6687" w:rsidRDefault="00476D57" w:rsidP="00CC1E9A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060" w:type="dxa"/>
          </w:tcPr>
          <w:p w:rsidR="00476D57" w:rsidRPr="000D6687" w:rsidRDefault="00476D57" w:rsidP="00CC1E9A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0D6687">
              <w:rPr>
                <w:rFonts w:ascii="Times New Roman CYR" w:hAnsi="Times New Roman CYR"/>
                <w:sz w:val="28"/>
                <w:szCs w:val="28"/>
              </w:rPr>
              <w:t>город Гагарин</w:t>
            </w:r>
          </w:p>
        </w:tc>
        <w:tc>
          <w:tcPr>
            <w:tcW w:w="3474" w:type="dxa"/>
          </w:tcPr>
          <w:p w:rsidR="00476D57" w:rsidRPr="000D6687" w:rsidRDefault="00476D57" w:rsidP="00CC1E9A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E57E66" w:rsidRPr="009970FD" w:rsidRDefault="00E57E66" w:rsidP="00FD4743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both"/>
        <w:rPr>
          <w:b w:val="0"/>
          <w:bCs w:val="0"/>
          <w:iCs/>
          <w:sz w:val="8"/>
          <w:szCs w:val="8"/>
        </w:rPr>
      </w:pPr>
    </w:p>
    <w:p w:rsidR="005F7786" w:rsidRPr="005F7786" w:rsidRDefault="009F661F" w:rsidP="002474A9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567" w:right="-1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О рассмотрении </w:t>
      </w:r>
      <w:r w:rsidR="002474A9">
        <w:rPr>
          <w:b w:val="0"/>
          <w:bCs w:val="0"/>
          <w:iCs/>
          <w:sz w:val="28"/>
          <w:szCs w:val="28"/>
        </w:rPr>
        <w:t>заявления Минаева С.Д.</w:t>
      </w:r>
      <w:r w:rsidR="00176470">
        <w:rPr>
          <w:b w:val="0"/>
          <w:bCs w:val="0"/>
          <w:iCs/>
          <w:sz w:val="28"/>
          <w:szCs w:val="28"/>
        </w:rPr>
        <w:t xml:space="preserve"> </w:t>
      </w:r>
      <w:r w:rsidR="002474A9">
        <w:rPr>
          <w:b w:val="0"/>
          <w:bCs w:val="0"/>
          <w:iCs/>
          <w:sz w:val="28"/>
          <w:szCs w:val="28"/>
        </w:rPr>
        <w:t>и Петрова В.А</w:t>
      </w:r>
    </w:p>
    <w:p w:rsidR="00460E48" w:rsidRDefault="002A5BC2" w:rsidP="002474A9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567"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460E48">
        <w:rPr>
          <w:b w:val="0"/>
          <w:sz w:val="28"/>
          <w:szCs w:val="28"/>
        </w:rPr>
        <w:tab/>
      </w:r>
      <w:r w:rsidR="00460E48">
        <w:rPr>
          <w:b w:val="0"/>
          <w:sz w:val="28"/>
          <w:szCs w:val="28"/>
        </w:rPr>
        <w:tab/>
        <w:t>16</w:t>
      </w:r>
    </w:p>
    <w:p w:rsidR="002474A9" w:rsidRPr="002D063F" w:rsidRDefault="002474A9" w:rsidP="002474A9">
      <w:pPr>
        <w:pStyle w:val="a7"/>
        <w:ind w:left="-567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D063F">
        <w:rPr>
          <w:color w:val="000000" w:themeColor="text1"/>
          <w:sz w:val="28"/>
          <w:szCs w:val="28"/>
        </w:rPr>
        <w:t xml:space="preserve">В территориальную избирательную комиссию муниципального образования «Гагаринский район» Смоленской области 2 августа 2021 года поступило заявление членов территориальной избирательной комиссии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2D063F">
        <w:rPr>
          <w:color w:val="000000" w:themeColor="text1"/>
          <w:sz w:val="28"/>
          <w:szCs w:val="28"/>
        </w:rPr>
        <w:t>«Гагаринский район» Смоленской области с правом решающего голоса Петрова Виктора Анатольевича и Минаева Сергея Дмитриевича (далее – заявители), содержащее требование о приглашении Соколова Павла Сергеевича и Роговой Людмилы Игоревны для дачи пояснений относительно заявлений о согласии баллотироваться на выборах</w:t>
      </w:r>
      <w:proofErr w:type="gramEnd"/>
      <w:r w:rsidRPr="002D063F">
        <w:rPr>
          <w:color w:val="000000" w:themeColor="text1"/>
          <w:sz w:val="28"/>
          <w:szCs w:val="28"/>
        </w:rPr>
        <w:t xml:space="preserve"> в </w:t>
      </w:r>
      <w:proofErr w:type="spellStart"/>
      <w:r w:rsidRPr="002D063F">
        <w:rPr>
          <w:color w:val="000000" w:themeColor="text1"/>
          <w:sz w:val="28"/>
          <w:szCs w:val="28"/>
        </w:rPr>
        <w:t>Гагаринскую</w:t>
      </w:r>
      <w:proofErr w:type="spellEnd"/>
      <w:r w:rsidRPr="002D063F">
        <w:rPr>
          <w:color w:val="000000" w:themeColor="text1"/>
          <w:sz w:val="28"/>
          <w:szCs w:val="28"/>
        </w:rPr>
        <w:t xml:space="preserve"> районную Думу шестого созыва. </w:t>
      </w:r>
    </w:p>
    <w:p w:rsidR="002474A9" w:rsidRPr="002D063F" w:rsidRDefault="002474A9" w:rsidP="002474A9">
      <w:pPr>
        <w:pStyle w:val="a7"/>
        <w:ind w:left="-567" w:firstLine="709"/>
        <w:jc w:val="both"/>
        <w:rPr>
          <w:color w:val="000000" w:themeColor="text1"/>
          <w:sz w:val="28"/>
          <w:szCs w:val="28"/>
        </w:rPr>
      </w:pPr>
      <w:r w:rsidRPr="002D063F">
        <w:rPr>
          <w:color w:val="000000" w:themeColor="text1"/>
          <w:sz w:val="28"/>
          <w:szCs w:val="28"/>
        </w:rPr>
        <w:t>В обоснование указанных требований заявители указывают, что подписи в заявлениях о согласии баллотироваться и паспортах Соколова Павла Сергеевича и Роговой Людмилы Игоревны имеются значительные отличия и могут быть выполнены и</w:t>
      </w:r>
      <w:r w:rsidR="00654771">
        <w:rPr>
          <w:color w:val="000000" w:themeColor="text1"/>
          <w:sz w:val="28"/>
          <w:szCs w:val="28"/>
        </w:rPr>
        <w:t>ным лицом, не имеющим полномочий</w:t>
      </w:r>
      <w:r w:rsidRPr="002D063F">
        <w:rPr>
          <w:color w:val="000000" w:themeColor="text1"/>
          <w:sz w:val="28"/>
          <w:szCs w:val="28"/>
        </w:rPr>
        <w:t xml:space="preserve"> на подписание.</w:t>
      </w:r>
    </w:p>
    <w:p w:rsidR="002474A9" w:rsidRPr="002D063F" w:rsidRDefault="002474A9" w:rsidP="002474A9">
      <w:pPr>
        <w:pStyle w:val="a7"/>
        <w:ind w:left="-567" w:firstLine="709"/>
        <w:jc w:val="both"/>
        <w:rPr>
          <w:color w:val="000000" w:themeColor="text1"/>
          <w:sz w:val="28"/>
          <w:szCs w:val="28"/>
        </w:rPr>
      </w:pPr>
      <w:r w:rsidRPr="002D063F">
        <w:rPr>
          <w:color w:val="000000" w:themeColor="text1"/>
          <w:sz w:val="28"/>
          <w:szCs w:val="28"/>
        </w:rPr>
        <w:t>Полномочия избирательных комиссий, в том числе  при выдвижении и регистрации кандидатов, при проведении выборов в органы местного самоуправления установлены Федеральным законом от 12.06.2002 № 67-ФЗ «Об основных гарантиях избирательных прав и права на участие в референдуме граждан Российской Федерации» (далее – Федеральный закон № 67-ФЗ) и иным областным законодательством, регулирующим правоотношения, связанные с подготовкой и проведением выборов.</w:t>
      </w:r>
    </w:p>
    <w:p w:rsidR="002474A9" w:rsidRPr="002D063F" w:rsidRDefault="002474A9" w:rsidP="002474A9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  <w:sz w:val="28"/>
          <w:szCs w:val="28"/>
        </w:rPr>
      </w:pPr>
      <w:r w:rsidRPr="002D063F">
        <w:rPr>
          <w:color w:val="000000" w:themeColor="text1"/>
          <w:sz w:val="28"/>
          <w:szCs w:val="28"/>
        </w:rPr>
        <w:t>Так в  соответствии с пунктом 14</w:t>
      </w:r>
      <w:r w:rsidRPr="002D063F">
        <w:rPr>
          <w:color w:val="000000" w:themeColor="text1"/>
          <w:sz w:val="28"/>
          <w:szCs w:val="28"/>
          <w:vertAlign w:val="superscript"/>
        </w:rPr>
        <w:t>2</w:t>
      </w:r>
      <w:r w:rsidRPr="002D063F">
        <w:rPr>
          <w:color w:val="000000" w:themeColor="text1"/>
          <w:sz w:val="28"/>
          <w:szCs w:val="28"/>
        </w:rPr>
        <w:t xml:space="preserve"> статьи 35 Федерального закона № 67-ФЗ территориальная избирательная комиссия муниципального образования «Гагаринский район» Смоленской области в течение трех дней со дня приема документов, указанных в пункте 14</w:t>
      </w:r>
      <w:r w:rsidRPr="002D063F">
        <w:rPr>
          <w:color w:val="000000" w:themeColor="text1"/>
          <w:sz w:val="28"/>
          <w:szCs w:val="28"/>
          <w:vertAlign w:val="superscript"/>
        </w:rPr>
        <w:t>1</w:t>
      </w:r>
      <w:r w:rsidRPr="002D063F">
        <w:rPr>
          <w:color w:val="000000" w:themeColor="text1"/>
          <w:sz w:val="28"/>
          <w:szCs w:val="28"/>
        </w:rPr>
        <w:t xml:space="preserve"> данной статьи, обязана принять решение о заверении списка кандидатов по одномандатным избирательным округам либо об отказе в его заверении, который должен быть мотивирован</w:t>
      </w:r>
      <w:proofErr w:type="gramStart"/>
      <w:r w:rsidRPr="002D063F">
        <w:rPr>
          <w:color w:val="000000" w:themeColor="text1"/>
          <w:sz w:val="28"/>
          <w:szCs w:val="28"/>
        </w:rPr>
        <w:t>.П</w:t>
      </w:r>
      <w:proofErr w:type="gramEnd"/>
      <w:r w:rsidRPr="002D063F">
        <w:rPr>
          <w:color w:val="000000" w:themeColor="text1"/>
          <w:sz w:val="28"/>
          <w:szCs w:val="28"/>
        </w:rPr>
        <w:t xml:space="preserve">ри этом в целях принятия </w:t>
      </w:r>
      <w:proofErr w:type="gramStart"/>
      <w:r w:rsidRPr="002D063F">
        <w:rPr>
          <w:color w:val="000000" w:themeColor="text1"/>
          <w:sz w:val="28"/>
          <w:szCs w:val="28"/>
        </w:rPr>
        <w:t xml:space="preserve">данного решения территориальной избирательной комиссией муниципального образования «Гагаринский район» Смоленской области устанавливается отсутствие (наличие) оснований для отказа в заверении списка, в частности подлежит установлению отсутствие (наличие) документов, предусмотренных </w:t>
      </w:r>
      <w:hyperlink r:id="rId6" w:history="1">
        <w:r w:rsidRPr="002D063F">
          <w:rPr>
            <w:color w:val="000000" w:themeColor="text1"/>
            <w:sz w:val="28"/>
            <w:szCs w:val="28"/>
          </w:rPr>
          <w:t>подпунктами «а»</w:t>
        </w:r>
      </w:hyperlink>
      <w:r w:rsidRPr="002D063F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2D063F">
          <w:rPr>
            <w:color w:val="000000" w:themeColor="text1"/>
            <w:sz w:val="28"/>
            <w:szCs w:val="28"/>
          </w:rPr>
          <w:t>«в»</w:t>
        </w:r>
      </w:hyperlink>
      <w:r w:rsidRPr="002D063F">
        <w:rPr>
          <w:color w:val="000000" w:themeColor="text1"/>
          <w:sz w:val="28"/>
          <w:szCs w:val="28"/>
        </w:rPr>
        <w:t xml:space="preserve"> - </w:t>
      </w:r>
      <w:hyperlink r:id="rId8" w:history="1">
        <w:r w:rsidRPr="002D063F">
          <w:rPr>
            <w:color w:val="000000" w:themeColor="text1"/>
            <w:sz w:val="28"/>
            <w:szCs w:val="28"/>
          </w:rPr>
          <w:t>«ж» пункта 14</w:t>
        </w:r>
        <w:r w:rsidRPr="002D063F">
          <w:rPr>
            <w:color w:val="000000" w:themeColor="text1"/>
            <w:sz w:val="28"/>
            <w:szCs w:val="28"/>
            <w:vertAlign w:val="superscript"/>
          </w:rPr>
          <w:t>1</w:t>
        </w:r>
      </w:hyperlink>
      <w:r w:rsidRPr="002D063F">
        <w:rPr>
          <w:color w:val="000000" w:themeColor="text1"/>
          <w:sz w:val="28"/>
          <w:szCs w:val="28"/>
        </w:rPr>
        <w:t xml:space="preserve">статьи 35 указанного Федерального закона, а также соблюдение (несоблюдение) требований к выдвижению кандидатов, предусмотренных Федеральным </w:t>
      </w:r>
      <w:hyperlink r:id="rId9" w:history="1">
        <w:r w:rsidRPr="002D063F">
          <w:rPr>
            <w:color w:val="000000" w:themeColor="text1"/>
            <w:sz w:val="28"/>
            <w:szCs w:val="28"/>
          </w:rPr>
          <w:t>законом</w:t>
        </w:r>
      </w:hyperlink>
      <w:r w:rsidRPr="002D063F">
        <w:rPr>
          <w:color w:val="000000" w:themeColor="text1"/>
          <w:sz w:val="28"/>
          <w:szCs w:val="28"/>
        </w:rPr>
        <w:t xml:space="preserve"> «О политических партиях», Федеральным законом</w:t>
      </w:r>
      <w:r w:rsidR="00D43D77">
        <w:rPr>
          <w:color w:val="000000" w:themeColor="text1"/>
          <w:sz w:val="28"/>
          <w:szCs w:val="28"/>
        </w:rPr>
        <w:t xml:space="preserve"> </w:t>
      </w:r>
      <w:r w:rsidRPr="002D063F">
        <w:rPr>
          <w:color w:val="000000" w:themeColor="text1"/>
          <w:sz w:val="28"/>
          <w:szCs w:val="28"/>
        </w:rPr>
        <w:t>№ 67-ФЗ.</w:t>
      </w:r>
      <w:proofErr w:type="gramEnd"/>
    </w:p>
    <w:p w:rsidR="009970FD" w:rsidRDefault="009970FD" w:rsidP="002474A9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  <w:sz w:val="28"/>
          <w:szCs w:val="28"/>
        </w:rPr>
      </w:pPr>
    </w:p>
    <w:p w:rsidR="009970FD" w:rsidRDefault="009970FD" w:rsidP="002474A9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  <w:sz w:val="28"/>
          <w:szCs w:val="28"/>
        </w:rPr>
      </w:pPr>
    </w:p>
    <w:p w:rsidR="009970FD" w:rsidRDefault="009970FD" w:rsidP="002474A9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  <w:sz w:val="28"/>
          <w:szCs w:val="28"/>
        </w:rPr>
      </w:pPr>
    </w:p>
    <w:p w:rsidR="002474A9" w:rsidRPr="002D063F" w:rsidRDefault="002474A9" w:rsidP="002474A9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  <w:sz w:val="28"/>
          <w:szCs w:val="28"/>
        </w:rPr>
      </w:pPr>
      <w:r w:rsidRPr="002D063F">
        <w:rPr>
          <w:color w:val="000000" w:themeColor="text1"/>
          <w:sz w:val="28"/>
          <w:szCs w:val="28"/>
        </w:rPr>
        <w:t xml:space="preserve">Кроме того, согласно пункту 6 статьи 33 Федерального закона № 67-ФЗ </w:t>
      </w:r>
    </w:p>
    <w:p w:rsidR="002474A9" w:rsidRPr="002D063F" w:rsidRDefault="00D43D77" w:rsidP="002474A9">
      <w:pPr>
        <w:autoSpaceDE w:val="0"/>
        <w:autoSpaceDN w:val="0"/>
        <w:adjustRightInd w:val="0"/>
        <w:ind w:left="-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территориальная </w:t>
      </w:r>
      <w:r w:rsidR="002474A9" w:rsidRPr="002D063F">
        <w:rPr>
          <w:color w:val="000000" w:themeColor="text1"/>
          <w:sz w:val="28"/>
          <w:szCs w:val="28"/>
        </w:rPr>
        <w:t xml:space="preserve">избирательная комиссия обращается с представлением о проверке достоверности сведений о кандидатах, представляемых в соответствии с </w:t>
      </w:r>
      <w:hyperlink r:id="rId10" w:history="1">
        <w:r w:rsidR="002474A9" w:rsidRPr="002D063F">
          <w:rPr>
            <w:color w:val="000000" w:themeColor="text1"/>
            <w:sz w:val="28"/>
            <w:szCs w:val="28"/>
          </w:rPr>
          <w:t>пунктами 2</w:t>
        </w:r>
      </w:hyperlink>
      <w:r w:rsidR="002474A9" w:rsidRPr="002D063F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2474A9" w:rsidRPr="002D063F">
          <w:rPr>
            <w:color w:val="000000" w:themeColor="text1"/>
            <w:sz w:val="28"/>
            <w:szCs w:val="28"/>
          </w:rPr>
          <w:t>2.1</w:t>
        </w:r>
      </w:hyperlink>
      <w:r w:rsidR="002474A9" w:rsidRPr="002D063F">
        <w:rPr>
          <w:color w:val="000000" w:themeColor="text1"/>
          <w:sz w:val="28"/>
          <w:szCs w:val="28"/>
        </w:rPr>
        <w:t xml:space="preserve"> и </w:t>
      </w:r>
      <w:hyperlink r:id="rId12" w:history="1">
        <w:r w:rsidR="002474A9" w:rsidRPr="002D063F">
          <w:rPr>
            <w:color w:val="000000" w:themeColor="text1"/>
            <w:sz w:val="28"/>
            <w:szCs w:val="28"/>
          </w:rPr>
          <w:t>3</w:t>
        </w:r>
      </w:hyperlink>
      <w:r w:rsidR="002474A9" w:rsidRPr="002D063F">
        <w:rPr>
          <w:color w:val="000000" w:themeColor="text1"/>
          <w:sz w:val="28"/>
          <w:szCs w:val="28"/>
        </w:rPr>
        <w:t xml:space="preserve">данной статьи в соответствующие органы. Проверка достоверности подписи, проставленной в заявлении о согласии баллотироваться, в соответствии с вышеуказанными правовыми актами </w:t>
      </w:r>
      <w:r w:rsidR="002474A9">
        <w:rPr>
          <w:color w:val="000000" w:themeColor="text1"/>
          <w:sz w:val="28"/>
          <w:szCs w:val="28"/>
        </w:rPr>
        <w:t xml:space="preserve">избирательными комиссиями не </w:t>
      </w:r>
      <w:r w:rsidR="002474A9" w:rsidRPr="002D063F">
        <w:rPr>
          <w:color w:val="000000" w:themeColor="text1"/>
          <w:sz w:val="28"/>
          <w:szCs w:val="28"/>
        </w:rPr>
        <w:t>производится.</w:t>
      </w:r>
    </w:p>
    <w:p w:rsidR="002474A9" w:rsidRPr="002D063F" w:rsidRDefault="002474A9" w:rsidP="002474A9">
      <w:pPr>
        <w:autoSpaceDE w:val="0"/>
        <w:autoSpaceDN w:val="0"/>
        <w:adjustRightInd w:val="0"/>
        <w:ind w:left="-567" w:firstLine="708"/>
        <w:jc w:val="both"/>
        <w:rPr>
          <w:color w:val="000000" w:themeColor="text1"/>
          <w:sz w:val="28"/>
          <w:szCs w:val="28"/>
        </w:rPr>
      </w:pPr>
      <w:r w:rsidRPr="002D063F">
        <w:rPr>
          <w:color w:val="000000" w:themeColor="text1"/>
          <w:sz w:val="28"/>
          <w:szCs w:val="28"/>
        </w:rPr>
        <w:t xml:space="preserve">Вместе с тем, в соответствии с пунктом 3 статьи 38 Федерального закона № 67-ФЗ предусмотрена процедура проверки подписей избирателей, проставленных в подписных листах в поддержку </w:t>
      </w:r>
      <w:r>
        <w:rPr>
          <w:color w:val="000000" w:themeColor="text1"/>
          <w:sz w:val="28"/>
          <w:szCs w:val="28"/>
        </w:rPr>
        <w:t xml:space="preserve">выдвижения </w:t>
      </w:r>
      <w:r w:rsidRPr="002D063F">
        <w:rPr>
          <w:color w:val="000000" w:themeColor="text1"/>
          <w:sz w:val="28"/>
          <w:szCs w:val="28"/>
        </w:rPr>
        <w:t>кандидата, с привлечением экспертов из числа специалистов органов внутренних дел.</w:t>
      </w:r>
    </w:p>
    <w:p w:rsidR="002474A9" w:rsidRPr="002D063F" w:rsidRDefault="002474A9" w:rsidP="002474A9">
      <w:pPr>
        <w:autoSpaceDE w:val="0"/>
        <w:autoSpaceDN w:val="0"/>
        <w:adjustRightInd w:val="0"/>
        <w:ind w:left="-567" w:firstLine="708"/>
        <w:jc w:val="both"/>
        <w:rPr>
          <w:color w:val="000000" w:themeColor="text1"/>
          <w:sz w:val="28"/>
          <w:szCs w:val="28"/>
        </w:rPr>
      </w:pPr>
      <w:r w:rsidRPr="002D063F">
        <w:rPr>
          <w:color w:val="000000" w:themeColor="text1"/>
          <w:sz w:val="28"/>
          <w:szCs w:val="28"/>
        </w:rPr>
        <w:t>В связи с тем, что под сомнение поставлены подписи, проставленные в заявлениях о согласии баллотироваться кандидатами в депутаты Гагаринской районной Думы шестого созыва, а не в подписных листах,  данные подписи не подлежат проверке территориальной избирательной комиссией муниципального образования «Гагаринский район» Смоленской области  и экспертами из числа специалистов органов внутренних дел.</w:t>
      </w:r>
    </w:p>
    <w:p w:rsidR="002474A9" w:rsidRPr="002D063F" w:rsidRDefault="002474A9" w:rsidP="002474A9">
      <w:pPr>
        <w:autoSpaceDE w:val="0"/>
        <w:autoSpaceDN w:val="0"/>
        <w:adjustRightInd w:val="0"/>
        <w:ind w:left="-567" w:firstLine="708"/>
        <w:jc w:val="both"/>
        <w:rPr>
          <w:color w:val="000000" w:themeColor="text1"/>
          <w:sz w:val="28"/>
          <w:szCs w:val="28"/>
        </w:rPr>
      </w:pPr>
      <w:r w:rsidRPr="002D063F">
        <w:rPr>
          <w:color w:val="000000" w:themeColor="text1"/>
          <w:sz w:val="28"/>
          <w:szCs w:val="28"/>
        </w:rPr>
        <w:t>Учитывая, что в соответствии с положениями Федерального закона № 67-ФЗ, а также иных областных законов о выборах и референдумах, территориальная избирательная комиссия муниципального образования «Гагаринский район» Смоленской области не наделена полномочиям</w:t>
      </w:r>
      <w:r w:rsidR="005B3CD4">
        <w:rPr>
          <w:color w:val="000000" w:themeColor="text1"/>
          <w:sz w:val="28"/>
          <w:szCs w:val="28"/>
        </w:rPr>
        <w:t>и</w:t>
      </w:r>
      <w:r w:rsidRPr="002D063F">
        <w:rPr>
          <w:color w:val="000000" w:themeColor="text1"/>
          <w:sz w:val="28"/>
          <w:szCs w:val="28"/>
        </w:rPr>
        <w:t xml:space="preserve"> по проверке подписей, проставленных в заявлениях о согласии баллотироваться, а также опроса лиц, заявления о </w:t>
      </w:r>
      <w:proofErr w:type="gramStart"/>
      <w:r w:rsidRPr="002D063F">
        <w:rPr>
          <w:color w:val="000000" w:themeColor="text1"/>
          <w:sz w:val="28"/>
          <w:szCs w:val="28"/>
        </w:rPr>
        <w:t>согласии</w:t>
      </w:r>
      <w:proofErr w:type="gramEnd"/>
      <w:r w:rsidRPr="002D063F">
        <w:rPr>
          <w:color w:val="000000" w:themeColor="text1"/>
          <w:sz w:val="28"/>
          <w:szCs w:val="28"/>
        </w:rPr>
        <w:t xml:space="preserve"> баллотироваться которых представлены в территориальную избирательную комиссию муниципального образования «Гагаринский район» Смоленской области  при </w:t>
      </w:r>
      <w:proofErr w:type="gramStart"/>
      <w:r w:rsidRPr="002D063F">
        <w:rPr>
          <w:color w:val="000000" w:themeColor="text1"/>
          <w:sz w:val="28"/>
          <w:szCs w:val="28"/>
        </w:rPr>
        <w:t>выдвижении</w:t>
      </w:r>
      <w:proofErr w:type="gramEnd"/>
      <w:r w:rsidRPr="002D063F">
        <w:rPr>
          <w:color w:val="000000" w:themeColor="text1"/>
          <w:sz w:val="28"/>
          <w:szCs w:val="28"/>
        </w:rPr>
        <w:t xml:space="preserve"> кандидатов по соответствующему избирательному округу, правовые основания для удовлетворения заявленных требований отсутствуют. Учитывая </w:t>
      </w:r>
      <w:proofErr w:type="gramStart"/>
      <w:r w:rsidRPr="002D063F">
        <w:rPr>
          <w:color w:val="000000" w:themeColor="text1"/>
          <w:sz w:val="28"/>
          <w:szCs w:val="28"/>
        </w:rPr>
        <w:t>изложенное</w:t>
      </w:r>
      <w:proofErr w:type="gramEnd"/>
      <w:r w:rsidRPr="002D063F">
        <w:rPr>
          <w:color w:val="000000" w:themeColor="text1"/>
          <w:sz w:val="28"/>
          <w:szCs w:val="28"/>
        </w:rPr>
        <w:t>, территориальная избирательная комиссия муниципального образования «Гагаринский район» Смоленской области</w:t>
      </w:r>
    </w:p>
    <w:p w:rsidR="002474A9" w:rsidRPr="009970FD" w:rsidRDefault="002474A9" w:rsidP="002474A9">
      <w:pPr>
        <w:autoSpaceDE w:val="0"/>
        <w:autoSpaceDN w:val="0"/>
        <w:adjustRightInd w:val="0"/>
        <w:ind w:left="-567"/>
        <w:jc w:val="both"/>
        <w:rPr>
          <w:color w:val="000000" w:themeColor="text1"/>
          <w:sz w:val="12"/>
          <w:szCs w:val="12"/>
        </w:rPr>
      </w:pPr>
    </w:p>
    <w:p w:rsidR="002474A9" w:rsidRPr="002D063F" w:rsidRDefault="002474A9" w:rsidP="002474A9">
      <w:pPr>
        <w:autoSpaceDE w:val="0"/>
        <w:autoSpaceDN w:val="0"/>
        <w:adjustRightInd w:val="0"/>
        <w:ind w:left="-567" w:firstLine="709"/>
        <w:jc w:val="both"/>
        <w:rPr>
          <w:b/>
          <w:color w:val="000000" w:themeColor="text1"/>
          <w:sz w:val="28"/>
          <w:szCs w:val="28"/>
        </w:rPr>
      </w:pPr>
      <w:r w:rsidRPr="002D063F">
        <w:rPr>
          <w:b/>
          <w:color w:val="000000" w:themeColor="text1"/>
          <w:sz w:val="28"/>
          <w:szCs w:val="28"/>
        </w:rPr>
        <w:t>ПОСТАНОВИЛА:</w:t>
      </w:r>
    </w:p>
    <w:p w:rsidR="002474A9" w:rsidRPr="009970FD" w:rsidRDefault="002474A9" w:rsidP="002474A9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  <w:sz w:val="12"/>
          <w:szCs w:val="12"/>
        </w:rPr>
      </w:pPr>
    </w:p>
    <w:p w:rsidR="005F7786" w:rsidRDefault="002474A9" w:rsidP="002474A9">
      <w:pPr>
        <w:pStyle w:val="a3"/>
        <w:spacing w:line="240" w:lineRule="auto"/>
        <w:ind w:left="-567" w:firstLine="600"/>
        <w:rPr>
          <w:sz w:val="28"/>
          <w:szCs w:val="28"/>
        </w:rPr>
      </w:pPr>
      <w:r w:rsidRPr="002D063F">
        <w:rPr>
          <w:color w:val="000000" w:themeColor="text1"/>
          <w:sz w:val="28"/>
          <w:szCs w:val="28"/>
        </w:rPr>
        <w:t>1.</w:t>
      </w:r>
      <w:r w:rsidRPr="002D063F">
        <w:rPr>
          <w:color w:val="000000" w:themeColor="text1"/>
          <w:sz w:val="28"/>
          <w:szCs w:val="28"/>
          <w:lang w:val="en-US"/>
        </w:rPr>
        <w:t> </w:t>
      </w:r>
      <w:r w:rsidRPr="002D063F">
        <w:rPr>
          <w:color w:val="000000" w:themeColor="text1"/>
          <w:sz w:val="28"/>
          <w:szCs w:val="28"/>
        </w:rPr>
        <w:t xml:space="preserve">Заявление членов территориальной избирательной комиссии </w:t>
      </w:r>
      <w:r>
        <w:rPr>
          <w:color w:val="000000" w:themeColor="text1"/>
          <w:sz w:val="28"/>
          <w:szCs w:val="28"/>
        </w:rPr>
        <w:t xml:space="preserve">муниципального образования </w:t>
      </w:r>
      <w:bookmarkStart w:id="0" w:name="_GoBack"/>
      <w:bookmarkEnd w:id="0"/>
      <w:r w:rsidRPr="002D063F">
        <w:rPr>
          <w:color w:val="000000" w:themeColor="text1"/>
          <w:sz w:val="28"/>
          <w:szCs w:val="28"/>
        </w:rPr>
        <w:t>«Гагаринский район» Смоленской области с правом решающего голоса Петрова Виктора Анатольевича и Минаева Сергея Дмитриевича оставить без удовлетворения.</w:t>
      </w:r>
      <w:r w:rsidR="00826C9C">
        <w:rPr>
          <w:sz w:val="28"/>
          <w:szCs w:val="28"/>
        </w:rPr>
        <w:t xml:space="preserve"> </w:t>
      </w:r>
    </w:p>
    <w:p w:rsidR="00B277BA" w:rsidRPr="00F6710E" w:rsidRDefault="00D02BD8" w:rsidP="002474A9">
      <w:pPr>
        <w:pStyle w:val="a7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7786" w:rsidRPr="00F6710E">
        <w:rPr>
          <w:sz w:val="28"/>
          <w:szCs w:val="28"/>
        </w:rPr>
        <w:t xml:space="preserve">. </w:t>
      </w:r>
      <w:r w:rsidR="005B343B">
        <w:rPr>
          <w:sz w:val="28"/>
          <w:szCs w:val="28"/>
        </w:rPr>
        <w:t>Направить наст</w:t>
      </w:r>
      <w:r w:rsidR="00826C9C">
        <w:rPr>
          <w:sz w:val="28"/>
          <w:szCs w:val="28"/>
        </w:rPr>
        <w:t xml:space="preserve">оящее постановление </w:t>
      </w:r>
      <w:r w:rsidR="002474A9">
        <w:rPr>
          <w:sz w:val="28"/>
          <w:szCs w:val="28"/>
        </w:rPr>
        <w:t xml:space="preserve">членам территориальной избирательной комиссии муниципального образования «Гагаринский район» Смоленской области </w:t>
      </w:r>
      <w:r w:rsidR="00F576D3">
        <w:rPr>
          <w:sz w:val="28"/>
          <w:szCs w:val="28"/>
        </w:rPr>
        <w:t>Петрову Виктору Анатольевичу и Минаеву Сергею Дмитриевичу</w:t>
      </w:r>
      <w:r w:rsidR="00E833B0" w:rsidRPr="00CC3B6C">
        <w:rPr>
          <w:bCs/>
          <w:iCs/>
          <w:sz w:val="28"/>
          <w:szCs w:val="28"/>
        </w:rPr>
        <w:t>.</w:t>
      </w:r>
      <w:r w:rsidR="00B277BA" w:rsidRPr="00F6710E">
        <w:rPr>
          <w:sz w:val="28"/>
          <w:szCs w:val="28"/>
        </w:rPr>
        <w:t xml:space="preserve"> </w:t>
      </w:r>
    </w:p>
    <w:p w:rsidR="005F7786" w:rsidRPr="002474A9" w:rsidRDefault="00B277BA" w:rsidP="002474A9">
      <w:pPr>
        <w:pStyle w:val="21"/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D02BD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F6710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9781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0250E9" w:rsidRPr="005F7786" w:rsidRDefault="000250E9" w:rsidP="00B43268">
      <w:pPr>
        <w:widowControl w:val="0"/>
        <w:autoSpaceDE w:val="0"/>
        <w:autoSpaceDN w:val="0"/>
        <w:adjustRightInd w:val="0"/>
        <w:ind w:left="-567"/>
        <w:jc w:val="both"/>
        <w:rPr>
          <w:b/>
          <w:bCs/>
          <w:color w:val="000000"/>
          <w:sz w:val="28"/>
          <w:szCs w:val="28"/>
        </w:rPr>
      </w:pPr>
    </w:p>
    <w:p w:rsidR="00B277BA" w:rsidRPr="008D38E2" w:rsidRDefault="00B277BA" w:rsidP="002A5BC2">
      <w:pPr>
        <w:jc w:val="both"/>
        <w:rPr>
          <w:rFonts w:ascii="Times New Roman CYR" w:hAnsi="Times New Roman CYR"/>
          <w:b/>
          <w:sz w:val="28"/>
        </w:rPr>
      </w:pPr>
      <w:r w:rsidRPr="008D38E2">
        <w:rPr>
          <w:rFonts w:ascii="Times New Roman CYR" w:hAnsi="Times New Roman CYR"/>
          <w:b/>
          <w:sz w:val="28"/>
        </w:rPr>
        <w:t xml:space="preserve">Председатель комиссии         </w:t>
      </w:r>
      <w:r w:rsidRPr="008D38E2">
        <w:rPr>
          <w:rFonts w:ascii="Times New Roman CYR" w:hAnsi="Times New Roman CYR"/>
          <w:b/>
          <w:color w:val="FFFFFF"/>
          <w:sz w:val="28"/>
        </w:rPr>
        <w:t xml:space="preserve">__________ </w:t>
      </w:r>
      <w:r w:rsidRPr="008D38E2">
        <w:rPr>
          <w:rFonts w:ascii="Times New Roman CYR" w:hAnsi="Times New Roman CYR"/>
          <w:b/>
          <w:sz w:val="28"/>
        </w:rPr>
        <w:t xml:space="preserve">                              </w:t>
      </w:r>
      <w:r>
        <w:rPr>
          <w:rFonts w:ascii="Times New Roman CYR" w:hAnsi="Times New Roman CYR"/>
          <w:b/>
          <w:sz w:val="28"/>
        </w:rPr>
        <w:t xml:space="preserve">  Е.А. Нечаева</w:t>
      </w:r>
    </w:p>
    <w:p w:rsidR="002474A9" w:rsidRDefault="002474A9" w:rsidP="002A5BC2">
      <w:pPr>
        <w:jc w:val="both"/>
        <w:rPr>
          <w:rFonts w:ascii="Times New Roman CYR" w:hAnsi="Times New Roman CYR"/>
          <w:b/>
          <w:sz w:val="36"/>
        </w:rPr>
      </w:pPr>
    </w:p>
    <w:p w:rsidR="00B277BA" w:rsidRDefault="00B277BA" w:rsidP="002A5BC2">
      <w:pPr>
        <w:jc w:val="both"/>
        <w:rPr>
          <w:sz w:val="12"/>
        </w:rPr>
      </w:pPr>
      <w:r w:rsidRPr="008D38E2">
        <w:rPr>
          <w:b/>
          <w:bCs/>
          <w:sz w:val="28"/>
        </w:rPr>
        <w:t xml:space="preserve">Секретарь комиссии                                         </w:t>
      </w:r>
      <w:r>
        <w:rPr>
          <w:b/>
          <w:bCs/>
          <w:sz w:val="28"/>
        </w:rPr>
        <w:t xml:space="preserve">                   </w:t>
      </w:r>
      <w:r w:rsidRPr="008D38E2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 </w:t>
      </w:r>
      <w:r w:rsidRPr="008D38E2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Н.С. Додонова</w:t>
      </w:r>
    </w:p>
    <w:sectPr w:rsidR="00B277BA" w:rsidSect="009970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7786"/>
    <w:rsid w:val="000250E9"/>
    <w:rsid w:val="00033902"/>
    <w:rsid w:val="000A2B09"/>
    <w:rsid w:val="000D6937"/>
    <w:rsid w:val="000E5ADD"/>
    <w:rsid w:val="00101A7F"/>
    <w:rsid w:val="0013398E"/>
    <w:rsid w:val="00176470"/>
    <w:rsid w:val="001777A9"/>
    <w:rsid w:val="001874F9"/>
    <w:rsid w:val="00196453"/>
    <w:rsid w:val="001A4FFD"/>
    <w:rsid w:val="002474A9"/>
    <w:rsid w:val="00281E73"/>
    <w:rsid w:val="002A5BC2"/>
    <w:rsid w:val="002C75A4"/>
    <w:rsid w:val="002D0191"/>
    <w:rsid w:val="003016C8"/>
    <w:rsid w:val="003142E7"/>
    <w:rsid w:val="003165EB"/>
    <w:rsid w:val="00344C5B"/>
    <w:rsid w:val="0037749A"/>
    <w:rsid w:val="00410C7E"/>
    <w:rsid w:val="00432EE7"/>
    <w:rsid w:val="00460E48"/>
    <w:rsid w:val="00476D57"/>
    <w:rsid w:val="00520C1A"/>
    <w:rsid w:val="00560D17"/>
    <w:rsid w:val="005919F2"/>
    <w:rsid w:val="005B343B"/>
    <w:rsid w:val="005B3CD4"/>
    <w:rsid w:val="005C4279"/>
    <w:rsid w:val="005D140D"/>
    <w:rsid w:val="005D6640"/>
    <w:rsid w:val="005D7B3C"/>
    <w:rsid w:val="005E7830"/>
    <w:rsid w:val="005F6F90"/>
    <w:rsid w:val="005F7786"/>
    <w:rsid w:val="00654771"/>
    <w:rsid w:val="00663DE6"/>
    <w:rsid w:val="00666280"/>
    <w:rsid w:val="00680C07"/>
    <w:rsid w:val="006B2790"/>
    <w:rsid w:val="006C7FDE"/>
    <w:rsid w:val="006F22C1"/>
    <w:rsid w:val="00721C4E"/>
    <w:rsid w:val="00757912"/>
    <w:rsid w:val="007661AC"/>
    <w:rsid w:val="0078210D"/>
    <w:rsid w:val="00795C09"/>
    <w:rsid w:val="007D4D59"/>
    <w:rsid w:val="00826C9C"/>
    <w:rsid w:val="00841081"/>
    <w:rsid w:val="00883CFE"/>
    <w:rsid w:val="008B7450"/>
    <w:rsid w:val="00944DB2"/>
    <w:rsid w:val="0096620D"/>
    <w:rsid w:val="00983511"/>
    <w:rsid w:val="009970FD"/>
    <w:rsid w:val="009C07A5"/>
    <w:rsid w:val="009F661F"/>
    <w:rsid w:val="00A457DE"/>
    <w:rsid w:val="00AC4A3A"/>
    <w:rsid w:val="00AD60D3"/>
    <w:rsid w:val="00AE34B3"/>
    <w:rsid w:val="00AF005B"/>
    <w:rsid w:val="00AF6051"/>
    <w:rsid w:val="00B277BA"/>
    <w:rsid w:val="00B43268"/>
    <w:rsid w:val="00C35784"/>
    <w:rsid w:val="00C65D80"/>
    <w:rsid w:val="00C70EA2"/>
    <w:rsid w:val="00C8126C"/>
    <w:rsid w:val="00CB0446"/>
    <w:rsid w:val="00CB4C66"/>
    <w:rsid w:val="00CC1E9A"/>
    <w:rsid w:val="00CC3988"/>
    <w:rsid w:val="00CD5720"/>
    <w:rsid w:val="00CE6CA6"/>
    <w:rsid w:val="00D02695"/>
    <w:rsid w:val="00D02BD8"/>
    <w:rsid w:val="00D30E89"/>
    <w:rsid w:val="00D41BC1"/>
    <w:rsid w:val="00D43D77"/>
    <w:rsid w:val="00DB6D8D"/>
    <w:rsid w:val="00DE6728"/>
    <w:rsid w:val="00E0618A"/>
    <w:rsid w:val="00E54B41"/>
    <w:rsid w:val="00E57E66"/>
    <w:rsid w:val="00E833B0"/>
    <w:rsid w:val="00EA1F6A"/>
    <w:rsid w:val="00EC36C5"/>
    <w:rsid w:val="00EE78CC"/>
    <w:rsid w:val="00F36595"/>
    <w:rsid w:val="00F576D3"/>
    <w:rsid w:val="00F6710E"/>
    <w:rsid w:val="00FC4ADD"/>
    <w:rsid w:val="00FD09B2"/>
    <w:rsid w:val="00FD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78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5F778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78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5F77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F778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F7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277B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277BA"/>
    <w:rPr>
      <w:rFonts w:ascii="Calibri" w:eastAsia="Calibri" w:hAnsi="Calibri" w:cs="Times New Roman"/>
    </w:rPr>
  </w:style>
  <w:style w:type="paragraph" w:customStyle="1" w:styleId="ConsPlusNonformat">
    <w:name w:val="ConsPlusNonformat"/>
    <w:next w:val="a5"/>
    <w:rsid w:val="00476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76D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66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1D777457C83A64694146378CBDA47B8CBEE0EF866C1F0AF5510B1D89B5090450B48F75EE89EBE54E2C9EFE95B0DB57FA55E223938F728H3t4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11D777457C83A64694146378CBDA47B8CBEE0EF866C1F0AF5510B1D89B5090450B48F75EE89EBF52E2C9EFE95B0DB57FA55E223938F728H3t4I" TargetMode="External"/><Relationship Id="rId12" Type="http://schemas.openxmlformats.org/officeDocument/2006/relationships/hyperlink" Target="consultantplus://offline/ref=2A11D849767BB03CE06EC49A88D016C0F490E27D64F18BF0150D3826419B9FC74E3EEE703C7D301A286912791D92CCADA8ECF91896B72B6FV12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C11D777457C83A64694146378CBDA47B8CBEE0EF866C1F0AF5510B1D89B5090450B48F75EE89EBF50E2C9EFE95B0DB57FA55E223938F728H3t4I" TargetMode="External"/><Relationship Id="rId11" Type="http://schemas.openxmlformats.org/officeDocument/2006/relationships/hyperlink" Target="consultantplus://offline/ref=2A11D849767BB03CE06EC49A88D016C0F490E27D64F18BF0150D3826419B9FC74E3EEE703C7D301A296912791D92CCADA8ECF91896B72B6FV12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11D849767BB03CE06EC49A88D016C0F490E27D64F18BF0150D3826419B9FC74E3EEE703C7D301A2E6912791D92CCADA8ECF91896B72B6FV12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11D777457C83A64694146378CBDA47B8CBEB08FB6EC1F0AF5510B1D89B5090570B10FB5EEE83BD5CF79FBEAFH0t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4C7B-F6F7-4F05-ADFD-7DC3C89F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41</cp:revision>
  <cp:lastPrinted>2021-08-05T09:26:00Z</cp:lastPrinted>
  <dcterms:created xsi:type="dcterms:W3CDTF">2020-07-23T15:27:00Z</dcterms:created>
  <dcterms:modified xsi:type="dcterms:W3CDTF">2021-08-05T09:29:00Z</dcterms:modified>
</cp:coreProperties>
</file>